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АРЕНДЫ № 04-01</w:t>
      </w:r>
    </w:p>
    <w:p w14:paraId="02000000">
      <w:pPr>
        <w:rPr>
          <w:rFonts w:ascii="Times New Roman" w:hAnsi="Times New Roman"/>
          <w:sz w:val="24"/>
        </w:rPr>
      </w:pPr>
    </w:p>
    <w:p w14:paraId="0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Санкт-Петербург                                                                                            «07» апреля 2023</w:t>
      </w:r>
    </w:p>
    <w:p w14:paraId="04000000">
      <w:pPr>
        <w:ind/>
        <w:jc w:val="both"/>
        <w:rPr>
          <w:rFonts w:ascii="Times New Roman" w:hAnsi="Times New Roman"/>
          <w:sz w:val="24"/>
        </w:rPr>
      </w:pPr>
    </w:p>
    <w:p w14:paraId="05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 п именуемый в дальнейшем «Арендодатель», с одной стороны и</w:t>
      </w:r>
    </w:p>
    <w:p w14:paraId="06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предприниматель</w:t>
      </w:r>
      <w:r>
        <w:rPr>
          <w:rFonts w:ascii="Times New Roman" w:hAnsi="Times New Roman"/>
          <w:sz w:val="24"/>
        </w:rPr>
        <w:t xml:space="preserve"> именуемый в дальнейшем</w:t>
      </w:r>
      <w:r>
        <w:rPr>
          <w:rFonts w:ascii="Times New Roman" w:hAnsi="Times New Roman"/>
          <w:sz w:val="24"/>
        </w:rPr>
        <w:t xml:space="preserve"> «Арендатор», с другой стороны, далее по отдельности именуемые «Сторона», а при совместном упоминании «Стороны», заключили настоящий Договор о нижеследующем:</w:t>
      </w:r>
    </w:p>
    <w:p w14:paraId="07000000">
      <w:pPr>
        <w:ind w:firstLine="708" w:left="0"/>
        <w:jc w:val="both"/>
        <w:rPr>
          <w:rFonts w:ascii="Times New Roman" w:hAnsi="Times New Roman"/>
          <w:sz w:val="24"/>
        </w:rPr>
      </w:pPr>
    </w:p>
    <w:p w14:paraId="08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ДОГОВОРА</w:t>
      </w:r>
    </w:p>
    <w:p w14:paraId="09000000">
      <w:pPr>
        <w:pStyle w:val="Style_1"/>
        <w:ind w:firstLine="0" w:left="1068"/>
        <w:rPr>
          <w:rFonts w:ascii="Times New Roman" w:hAnsi="Times New Roman"/>
          <w:sz w:val="24"/>
        </w:rPr>
      </w:pPr>
    </w:p>
    <w:p w14:paraId="0A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Арендодатель передаёт Арендатору во временное владение и пользование на срок, установленный настоящим Договором, нежилое помещение площадью 20 </w:t>
      </w:r>
      <w:r>
        <w:rPr>
          <w:rFonts w:ascii="Times New Roman" w:hAnsi="Times New Roman"/>
          <w:sz w:val="24"/>
        </w:rPr>
        <w:t>кв.м</w:t>
      </w:r>
      <w:r>
        <w:rPr>
          <w:rFonts w:ascii="Times New Roman" w:hAnsi="Times New Roman"/>
          <w:sz w:val="24"/>
        </w:rPr>
        <w:t xml:space="preserve">., (далее - «Нежилое помещение»), являющееся частью нежилого помещения, находящегося по адресу: Санкт-Петербург, </w:t>
      </w:r>
      <w:r>
        <w:rPr>
          <w:rFonts w:ascii="Times New Roman" w:hAnsi="Times New Roman"/>
          <w:sz w:val="24"/>
        </w:rPr>
        <w:t>пр-кт</w:t>
      </w:r>
      <w:r>
        <w:rPr>
          <w:rFonts w:ascii="Times New Roman" w:hAnsi="Times New Roman"/>
          <w:sz w:val="24"/>
        </w:rPr>
        <w:t xml:space="preserve"> литера А, пом. 4-Н, цокольный этаж, общая площадь нежилого помещения </w:t>
      </w:r>
      <w:r>
        <w:rPr>
          <w:rFonts w:ascii="Times New Roman" w:hAnsi="Times New Roman"/>
          <w:sz w:val="24"/>
        </w:rPr>
        <w:t xml:space="preserve"> принадлежащее Арендодателю на праве собственности. Нежилое помещение отображено на Плане расположения Нежилого помещения, передаваемого в аренду (Приложение № 1 к настоящему Договору).</w:t>
      </w:r>
    </w:p>
    <w:p w14:paraId="0B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>Документом, подтверждающим право собственности Арендодателя на нежилое помещение является</w:t>
      </w:r>
      <w:r>
        <w:rPr>
          <w:rFonts w:ascii="Times New Roman" w:hAnsi="Times New Roman"/>
          <w:sz w:val="24"/>
        </w:rPr>
        <w:t xml:space="preserve"> выписка из Единого государственного реестра прав на недвижимое имущество и сделок с ним от 26.01.2023.</w:t>
      </w:r>
    </w:p>
    <w:p w14:paraId="0C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Арендодатель предоставляет Арендатору пригодное для ведения предпринимательской деятельности Нежилое помещение во временное пользование. Разрешённое использование Нежилого помещения – для размещения пункт</w:t>
      </w:r>
      <w:r>
        <w:rPr>
          <w:rFonts w:ascii="Times New Roman" w:hAnsi="Times New Roman"/>
          <w:sz w:val="24"/>
        </w:rPr>
        <w:t>а выдачи заказов, интернет-</w:t>
      </w:r>
      <w:r>
        <w:rPr>
          <w:rFonts w:ascii="Times New Roman" w:hAnsi="Times New Roman"/>
          <w:sz w:val="24"/>
        </w:rPr>
        <w:t>магаз</w:t>
      </w:r>
      <w:r>
        <w:rPr>
          <w:rFonts w:ascii="Times New Roman" w:hAnsi="Times New Roman"/>
          <w:sz w:val="24"/>
        </w:rPr>
        <w:t>ин. Использование Арендатором Нежилог</w:t>
      </w:r>
      <w:r>
        <w:rPr>
          <w:rFonts w:ascii="Times New Roman" w:hAnsi="Times New Roman"/>
          <w:sz w:val="24"/>
        </w:rPr>
        <w:t xml:space="preserve">о помещения в иных целях, </w:t>
      </w:r>
      <w:r>
        <w:rPr>
          <w:rFonts w:ascii="Times New Roman" w:hAnsi="Times New Roman"/>
          <w:sz w:val="24"/>
        </w:rPr>
        <w:t>кроме</w:t>
      </w:r>
      <w:r>
        <w:rPr>
          <w:rFonts w:ascii="Times New Roman" w:hAnsi="Times New Roman"/>
          <w:sz w:val="24"/>
        </w:rPr>
        <w:t xml:space="preserve"> указанных в настоящем пункте, запрещается.</w:t>
      </w:r>
      <w:r>
        <w:rPr>
          <w:rFonts w:ascii="Times New Roman" w:hAnsi="Times New Roman"/>
          <w:sz w:val="24"/>
        </w:rPr>
        <w:t xml:space="preserve"> Нарушение арендатором запрета, установленного в настоящем пункте, является существенным нарушением условий Договора, которое влечёт возможность наступления правовых последствий, предусмотренных настоящим Договором и законодательством Российской Федерации.</w:t>
      </w:r>
    </w:p>
    <w:p w14:paraId="0D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Нежилое помещение не является предметом спора, под арестом не состоит, не является предметом каких-либо сделок, заключённых Арендодателем.</w:t>
      </w:r>
    </w:p>
    <w:p w14:paraId="0E000000">
      <w:pPr>
        <w:ind w:firstLine="708" w:left="0"/>
        <w:jc w:val="both"/>
        <w:rPr>
          <w:rFonts w:ascii="Times New Roman" w:hAnsi="Times New Roman"/>
          <w:sz w:val="24"/>
        </w:rPr>
      </w:pPr>
    </w:p>
    <w:p w14:paraId="0F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ПРАВА И ОБЯЗАННОСТИ СТОРОН</w:t>
      </w:r>
    </w:p>
    <w:p w14:paraId="10000000">
      <w:pPr>
        <w:pStyle w:val="Style_1"/>
        <w:ind w:firstLine="0" w:left="1068"/>
        <w:rPr>
          <w:rFonts w:ascii="Times New Roman" w:hAnsi="Times New Roman"/>
          <w:sz w:val="24"/>
        </w:rPr>
      </w:pPr>
    </w:p>
    <w:p w14:paraId="11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Арендатор обязан:</w:t>
      </w:r>
    </w:p>
    <w:p w14:paraId="12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Принять от Арендодателя Нежилое помещение по Акту приёма-передачи (по форме, согласованной Сторонами в Приложении № 2 к настоящему Договору) в срок, не позднее 16.04.2023.</w:t>
      </w:r>
    </w:p>
    <w:p w14:paraId="13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2.1.2. При осуществлении права временного пользования Нежилым помещением соблюдать действующие на территории города Санкт-Петербурга федеральные, региональные </w:t>
      </w:r>
      <w:r>
        <w:rPr>
          <w:rFonts w:ascii="Times New Roman" w:hAnsi="Times New Roman"/>
          <w:sz w:val="24"/>
        </w:rPr>
        <w:t>и местные законодательные акты, правила пользования Нежилым помещением, правила пользования общим имуществом в многоквартирном доме, правила пожарной безопасности, не нарушать права и законные интересы других собственников помещений в многоквартирном доме.</w:t>
      </w:r>
    </w:p>
    <w:p w14:paraId="14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2.1.3. Использовать Нежилое помещение в соответствии с его назначением и исключительно в целях, указанных в п. 1.3. настоящего Договора, не причинять вреда </w:t>
      </w:r>
      <w:r>
        <w:rPr>
          <w:rFonts w:ascii="Times New Roman" w:hAnsi="Times New Roman"/>
          <w:sz w:val="24"/>
        </w:rPr>
        <w:t>Нежилому помещению, находящемуся в нем движимому имуществу, оборудованию, а также имуществу третьих лиц.</w:t>
      </w:r>
    </w:p>
    <w:p w14:paraId="15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Поддерживать в исправном состоянии Нежилое помещение, санитарно-техническое и иное оборудование, находящееся в нем, обеспечивать сохранность Нежилого помещения, движимого имущества и оборудования, находящего в Нежилом помещении.</w:t>
      </w:r>
    </w:p>
    <w:p w14:paraId="16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2.1.5. Своими силами и за свой счет содержать в чистоте и порядке Нежилое помещение, проводить текущий ремонт Нежилого помещения, не повреждать, не загрязнять и не засорять общее имущество в многоквартирном доме, объекты благоустройства.</w:t>
      </w:r>
    </w:p>
    <w:p w14:paraId="17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2.1.6. Не производить переустройство и/или перепланировку Нежилого помещения без письменного согласия </w:t>
      </w:r>
      <w:r>
        <w:rPr>
          <w:rFonts w:ascii="Times New Roman" w:hAnsi="Times New Roman"/>
          <w:sz w:val="24"/>
        </w:rPr>
        <w:t xml:space="preserve">Арендодателя и получения соответствующего согласования уполномоченных государственных органов (когда необходимость такого согласования предусмотрена законодательством Российской Федерации) в порядке, предусмотренном законодательством Российской Федерации. </w:t>
      </w:r>
    </w:p>
    <w:p w14:paraId="18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если Арендатором будет осуществлено п</w:t>
      </w:r>
      <w:r>
        <w:rPr>
          <w:rFonts w:ascii="Times New Roman" w:hAnsi="Times New Roman"/>
          <w:sz w:val="24"/>
        </w:rPr>
        <w:t>ереустройство и/или перепланировка Нежилого помещения, Арендатор самостоятельно несет все расходы и осуществляет действия, направленные не внесение в Единый государственный реестр недвижимости сведений об осуществленном переустройстве и/или перепланировке.</w:t>
      </w:r>
    </w:p>
    <w:p w14:paraId="19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2.1.7. Своевременно и в полном объеме вносить в соответствии с настоящим </w:t>
      </w:r>
      <w:r>
        <w:rPr>
          <w:rFonts w:ascii="Times New Roman" w:hAnsi="Times New Roman"/>
          <w:sz w:val="24"/>
        </w:rPr>
        <w:t xml:space="preserve">Договором арендную плату и плату за коммунальные услуги пропорционально площади арендуемого Нежилого помещения. В случае использования сети Интернет, Арендатор обязан за свой счет оплачивать все услуги, связанные с подключением Интернета и пользования им. </w:t>
      </w:r>
    </w:p>
    <w:p w14:paraId="1A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 При прекращении настоящего Договора освободить Нежилое помещение в сроки, установл</w:t>
      </w:r>
      <w:r>
        <w:rPr>
          <w:rFonts w:ascii="Times New Roman" w:hAnsi="Times New Roman"/>
          <w:sz w:val="24"/>
        </w:rPr>
        <w:t>енные настоящим Договором, сдать Арендодателю по Акту приёма-передачи (возврата) (по форме, согласованной Сторонами в Приложении № 3 к настоящему Договору), а также полностью погасить имеющуюся задолженность по арендной плате, по оплате коммунальных услуг.</w:t>
      </w:r>
    </w:p>
    <w:p w14:paraId="1B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2.1.9. В любое время беспрепятственно допускать Арендодателя и/или уполномоченных Арендодателем лиц для осмотра технического и санитарного состо</w:t>
      </w:r>
      <w:r>
        <w:rPr>
          <w:rFonts w:ascii="Times New Roman" w:hAnsi="Times New Roman"/>
          <w:sz w:val="24"/>
        </w:rPr>
        <w:t>яния Нежилого помещения, движимого имущества,  санитарно-технического и иного оборудования, находящегося в нем, снятия показаний приборов учета, получения платы по настоящему Договора, для выполнения ремонтных работ, для ликвидации аварий и неисправностей.</w:t>
      </w:r>
    </w:p>
    <w:p w14:paraId="1C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2.1.10. </w:t>
      </w:r>
      <w:r>
        <w:rPr>
          <w:rFonts w:ascii="Times New Roman" w:hAnsi="Times New Roman"/>
          <w:sz w:val="24"/>
        </w:rPr>
        <w:t>Производить любые действия, связанные с художественным оформлением Нежилого помещения, установкой декоративных дополнительных элементов, рекламных вывесок, приборов, оборудования и механизмов только на основании предварительного письменног</w:t>
      </w:r>
      <w:r>
        <w:rPr>
          <w:rFonts w:ascii="Times New Roman" w:hAnsi="Times New Roman"/>
          <w:sz w:val="24"/>
        </w:rPr>
        <w:t>о согласия Арендодателя и соответствующего согласования уполномоченных государственных органов (когда необходимость такого согласования предусмотрена законодательством Российской Федерации) в порядке, предусмотренном законодательством Российской Федерации.</w:t>
      </w:r>
    </w:p>
    <w:p w14:paraId="1D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2.1.11. Своевременно передавать показания приборов учета для корректного расчёта платы за потребляемые Арендатором коммунальные услуги.</w:t>
      </w:r>
    </w:p>
    <w:p w14:paraId="1E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2.1.12. Нести полную ответственность за обеспечение пожарной безопасности Нежилого помещения, а именно: установить (в случае необходимости) и подд</w:t>
      </w:r>
      <w:r>
        <w:rPr>
          <w:rFonts w:ascii="Times New Roman" w:hAnsi="Times New Roman"/>
          <w:sz w:val="24"/>
        </w:rPr>
        <w:t>ерживать в исправном состоянии все необходимые системы противопожарной безопасности, своевременно выполнять все требования противопожарной безопасности, предписания, постановления и иные законные требования государственных инспекторов по пожарному надзору.</w:t>
      </w:r>
    </w:p>
    <w:p w14:paraId="1F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Арендодатель обязан:</w:t>
      </w:r>
    </w:p>
    <w:p w14:paraId="20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Передать Арендатору по Акту приёма-передачи (по форме, согласованной Сторонами в Приложении № 2 к настоящему Договору)</w:t>
      </w:r>
      <w:r>
        <w:rPr>
          <w:rFonts w:ascii="Times New Roman" w:hAnsi="Times New Roman"/>
          <w:sz w:val="24"/>
        </w:rPr>
        <w:t xml:space="preserve"> Нежилое помещение не позднее 16</w:t>
      </w:r>
      <w:r>
        <w:rPr>
          <w:rFonts w:ascii="Times New Roman" w:hAnsi="Times New Roman"/>
          <w:sz w:val="24"/>
        </w:rPr>
        <w:t>.04.2023.</w:t>
      </w:r>
    </w:p>
    <w:p w14:paraId="21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Принять в установленные настоящим Договором сроки Нежилое помещение у Арендатора по Акту приёма-передачи (возврата) (по форме, согласованной Сторонами в Приложении № 3 к настоящему Договору) после прекращения настоящего Договора.</w:t>
      </w:r>
    </w:p>
    <w:p w14:paraId="22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2.2.3. </w:t>
      </w:r>
      <w:r>
        <w:rPr>
          <w:rFonts w:ascii="Times New Roman" w:hAnsi="Times New Roman"/>
          <w:sz w:val="24"/>
        </w:rPr>
        <w:t>Нести иные обязанности</w:t>
      </w:r>
      <w:r>
        <w:rPr>
          <w:rFonts w:ascii="Times New Roman" w:hAnsi="Times New Roman"/>
          <w:sz w:val="24"/>
        </w:rPr>
        <w:t>, предусмотренные настоящим Договором и законодательством Российской Федерации.</w:t>
      </w:r>
    </w:p>
    <w:p w14:paraId="23000000">
      <w:pPr>
        <w:ind w:firstLine="708" w:left="0"/>
        <w:jc w:val="both"/>
        <w:rPr>
          <w:rFonts w:ascii="Times New Roman" w:hAnsi="Times New Roman"/>
          <w:sz w:val="24"/>
        </w:rPr>
      </w:pPr>
    </w:p>
    <w:p w14:paraId="24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ДЕЙСТВИЯ ДОГОВОРА</w:t>
      </w:r>
    </w:p>
    <w:p w14:paraId="25000000">
      <w:pPr>
        <w:pStyle w:val="Style_1"/>
        <w:ind w:firstLine="0" w:left="1068"/>
        <w:rPr>
          <w:rFonts w:ascii="Times New Roman" w:hAnsi="Times New Roman"/>
          <w:sz w:val="24"/>
        </w:rPr>
      </w:pPr>
    </w:p>
    <w:p w14:paraId="26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Срок аренды Нежилого помещения по настоящему Договору составляет 11 (одиннадцать) месяцев.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Если за месяц до истечения срока действия договора стороны не представили возражений, он считается продленным на тот же срок (11 месяцев) на тех же условиях. Количество возможных пролонгаций</w:t>
      </w:r>
      <w:r>
        <w:rPr>
          <w:rFonts w:ascii="Times New Roman" w:hAnsi="Times New Roman"/>
          <w:sz w:val="24"/>
        </w:rPr>
        <w:t xml:space="preserve"> не ограничено</w:t>
      </w:r>
      <w:r>
        <w:rPr>
          <w:rFonts w:ascii="Times New Roman" w:hAnsi="Times New Roman"/>
          <w:sz w:val="24"/>
        </w:rPr>
        <w:t>.</w:t>
      </w:r>
    </w:p>
    <w:p w14:paraId="27000000">
      <w:pPr>
        <w:ind w:firstLine="708" w:left="0"/>
        <w:jc w:val="both"/>
        <w:rPr>
          <w:rFonts w:ascii="Times New Roman" w:hAnsi="Times New Roman"/>
          <w:sz w:val="24"/>
        </w:rPr>
      </w:pPr>
    </w:p>
    <w:p w14:paraId="28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ПЛАТА ПО ДОГОВОРУ</w:t>
      </w:r>
    </w:p>
    <w:p w14:paraId="29000000">
      <w:pPr>
        <w:pStyle w:val="Style_1"/>
        <w:ind w:firstLine="0" w:left="1068"/>
        <w:rPr>
          <w:rFonts w:ascii="Times New Roman" w:hAnsi="Times New Roman"/>
          <w:sz w:val="24"/>
        </w:rPr>
      </w:pPr>
    </w:p>
    <w:p w14:paraId="2A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Арендатор обязан своевременно и в полном</w:t>
      </w:r>
      <w:r>
        <w:rPr>
          <w:rFonts w:ascii="Times New Roman" w:hAnsi="Times New Roman"/>
          <w:sz w:val="24"/>
        </w:rPr>
        <w:t xml:space="preserve"> объеме вносить плату по настоящему Договору. Плата по Договору состоит из постоянной части арендной платы и переменной части арендной платы, представляющей собой плату за коммунальные услуги, потребляемые Арендатором во время действия настоящего Договора.</w:t>
      </w:r>
    </w:p>
    <w:p w14:paraId="2B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Постоянная часть арендной платы по настоящему Договору устанавливается в следующем размере:</w:t>
      </w:r>
    </w:p>
    <w:p w14:paraId="2C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4.2.1. За период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даты подписания</w:t>
      </w:r>
      <w:r>
        <w:rPr>
          <w:rFonts w:ascii="Times New Roman" w:hAnsi="Times New Roman"/>
          <w:sz w:val="24"/>
        </w:rPr>
        <w:t xml:space="preserve"> Сторонами Акта приема-пе</w:t>
      </w:r>
      <w:r>
        <w:rPr>
          <w:rFonts w:ascii="Times New Roman" w:hAnsi="Times New Roman"/>
          <w:sz w:val="24"/>
        </w:rPr>
        <w:t>редачи (по форме приложения № 2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до 30.04.2023 в связи с необходимостью подготовки Нежилого помещения и проведения ремонтных работ, постоянная часть арендной платы не начисляется.</w:t>
      </w:r>
    </w:p>
    <w:p w14:paraId="2D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4.2.2. </w:t>
      </w:r>
      <w:r>
        <w:rPr>
          <w:rFonts w:ascii="Times New Roman" w:hAnsi="Times New Roman"/>
          <w:sz w:val="24"/>
        </w:rPr>
        <w:t>с 01.05.2023 п</w:t>
      </w:r>
      <w:r>
        <w:rPr>
          <w:rFonts w:ascii="Times New Roman" w:hAnsi="Times New Roman"/>
          <w:sz w:val="24"/>
        </w:rPr>
        <w:t>остоянная часть арендной платы составляет 40 000 (сорок тысяч) рублей за 1 (один) календарный месяц.</w:t>
      </w:r>
    </w:p>
    <w:p w14:paraId="2E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В течение срока действия настоящего Договора  размер постоянной части арендной платы может быть изменён Арендодателем в</w:t>
      </w:r>
      <w:r>
        <w:rPr>
          <w:rFonts w:ascii="Times New Roman" w:hAnsi="Times New Roman"/>
          <w:sz w:val="24"/>
        </w:rPr>
        <w:t xml:space="preserve"> одностороннем порядке, но не  чаще 1 (одного) раза в 11 (одиннадцать</w:t>
      </w:r>
      <w:r>
        <w:rPr>
          <w:rFonts w:ascii="Times New Roman" w:hAnsi="Times New Roman"/>
          <w:sz w:val="24"/>
        </w:rPr>
        <w:t>) календарных месяцев. Размер арендной платы может быть изменён Арендода</w:t>
      </w:r>
      <w:r>
        <w:rPr>
          <w:rFonts w:ascii="Times New Roman" w:hAnsi="Times New Roman"/>
          <w:sz w:val="24"/>
        </w:rPr>
        <w:t>телем не более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чем на 10% (десять</w:t>
      </w:r>
      <w:r>
        <w:rPr>
          <w:rFonts w:ascii="Times New Roman" w:hAnsi="Times New Roman"/>
          <w:sz w:val="24"/>
        </w:rPr>
        <w:t xml:space="preserve"> процентов).</w:t>
      </w:r>
    </w:p>
    <w:p w14:paraId="2F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Изменение размера арендной платы осуществляется на основании уведомления Арендодателя с даты, указанной в таком уведомлении.</w:t>
      </w:r>
    </w:p>
    <w:p w14:paraId="30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4.4. Арендатор вносит постоянную часть арендной платы ежемесячно в авансовом порядке не позднее </w:t>
      </w:r>
      <w:r>
        <w:rPr>
          <w:rFonts w:ascii="Times New Roman" w:hAnsi="Times New Roman"/>
          <w:sz w:val="24"/>
        </w:rPr>
        <w:t>01 числа оплачиваемого месяца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Н</w:t>
      </w:r>
      <w:r>
        <w:rPr>
          <w:rFonts w:ascii="Times New Roman" w:hAnsi="Times New Roman"/>
          <w:sz w:val="24"/>
        </w:rPr>
        <w:t>е выставление Арендодателем соответствующего счета на оплату не может являться основанием для невнесения или просрочки внесения Арендатором постоянной части арендной платы.</w:t>
      </w:r>
    </w:p>
    <w:p w14:paraId="31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4.5. Переменная часть арендной платы представляет собой плату за </w:t>
      </w:r>
      <w:r>
        <w:rPr>
          <w:rFonts w:ascii="Times New Roman" w:hAnsi="Times New Roman"/>
          <w:sz w:val="24"/>
        </w:rPr>
        <w:t xml:space="preserve">отопление и  коммунальные услуги и </w:t>
      </w:r>
      <w:r>
        <w:rPr>
          <w:rFonts w:ascii="Times New Roman" w:hAnsi="Times New Roman"/>
          <w:sz w:val="24"/>
        </w:rPr>
        <w:t xml:space="preserve">не входит в величину постоянной части арендной платы, указанной п. 4.2. Договора. Переменная часть арендной платы за </w:t>
      </w:r>
      <w:r>
        <w:rPr>
          <w:rFonts w:ascii="Times New Roman" w:hAnsi="Times New Roman"/>
          <w:sz w:val="24"/>
        </w:rPr>
        <w:t xml:space="preserve">коммунальные услуги и отопление </w:t>
      </w:r>
      <w:r>
        <w:rPr>
          <w:rFonts w:ascii="Times New Roman" w:hAnsi="Times New Roman"/>
          <w:sz w:val="24"/>
        </w:rPr>
        <w:t xml:space="preserve">оплачивается Арендатором на основании  счётов, выставляемых </w:t>
      </w:r>
      <w:r>
        <w:rPr>
          <w:rFonts w:ascii="Times New Roman" w:hAnsi="Times New Roman"/>
          <w:sz w:val="24"/>
        </w:rPr>
        <w:t>ресурсоснабжающими</w:t>
      </w:r>
      <w:r>
        <w:rPr>
          <w:rFonts w:ascii="Times New Roman" w:hAnsi="Times New Roman"/>
          <w:sz w:val="24"/>
        </w:rPr>
        <w:t xml:space="preserve"> организациями и поставщиками коммунальных ресурсов, пропорционально </w:t>
      </w:r>
      <w:r>
        <w:rPr>
          <w:rFonts w:ascii="Times New Roman" w:hAnsi="Times New Roman"/>
          <w:sz w:val="24"/>
        </w:rPr>
        <w:t>площади</w:t>
      </w:r>
      <w:r>
        <w:rPr>
          <w:rFonts w:ascii="Times New Roman" w:hAnsi="Times New Roman"/>
          <w:sz w:val="24"/>
        </w:rPr>
        <w:t xml:space="preserve"> арендуемого Нежилого помещения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Плата за потребляемые </w:t>
      </w:r>
      <w:r>
        <w:rPr>
          <w:rFonts w:ascii="Times New Roman" w:hAnsi="Times New Roman"/>
          <w:sz w:val="24"/>
        </w:rPr>
        <w:t>Арендатором коммунальные услуги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отопление компенсируется Арендатором Арендодателю в срок до 20 (двадцатого) числа месяца, следующего за отчетным, на основании соответствующего счета Арендодателя.</w:t>
      </w:r>
    </w:p>
    <w:p w14:paraId="32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В случае использования Арендатором сети Интернет, все расходы, связанные с подключением и предоставлением доступа в Интернет, Арендатор несет самостоятельно.</w:t>
      </w:r>
    </w:p>
    <w:p w14:paraId="33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Арендатор вносит арендную плату за Нежилое помещение путем перечисления денежных средств по следующим реквизитам Арендодателя:</w:t>
      </w:r>
    </w:p>
    <w:p w14:paraId="34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 ПРЕКРАЩЕНИЯ ДОГОВОРА. ПОРЯДОК ИЗМЕНЕНИЯ И РАСТОРЖЕНИЯ ДОГОВОРА. ОТКАЗ ОТ ДОГОВОРА</w:t>
      </w:r>
    </w:p>
    <w:p w14:paraId="35000000">
      <w:pPr>
        <w:pStyle w:val="Style_1"/>
        <w:ind w:firstLine="0" w:left="1068"/>
        <w:rPr>
          <w:rFonts w:ascii="Times New Roman" w:hAnsi="Times New Roman"/>
          <w:sz w:val="24"/>
        </w:rPr>
      </w:pPr>
    </w:p>
    <w:p w14:paraId="36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</w:t>
      </w:r>
      <w:r>
        <w:rPr>
          <w:rFonts w:ascii="Times New Roman" w:hAnsi="Times New Roman"/>
          <w:sz w:val="24"/>
        </w:rPr>
        <w:t xml:space="preserve">Настоящий </w:t>
      </w:r>
      <w:r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может быть расторгнут досрочно любой из Сторон в порядке одностороннего отказа от исполнения Договора с письменным уведомлением другой Стороны за </w:t>
      </w:r>
      <w:r>
        <w:rPr>
          <w:rFonts w:ascii="Times New Roman" w:hAnsi="Times New Roman"/>
          <w:sz w:val="24"/>
        </w:rPr>
        <w:t>60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календарных дней </w:t>
      </w:r>
      <w:r>
        <w:rPr>
          <w:rFonts w:ascii="Times New Roman" w:hAnsi="Times New Roman"/>
          <w:sz w:val="24"/>
        </w:rPr>
        <w:t>до предполагаемого момента расторжения Договора.</w:t>
      </w:r>
    </w:p>
    <w:p w14:paraId="37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</w:t>
      </w:r>
      <w:r>
        <w:rPr>
          <w:rFonts w:ascii="Times New Roman" w:hAnsi="Times New Roman"/>
          <w:sz w:val="24"/>
        </w:rPr>
        <w:t>. Арендодатель вправе в одностороннем порядке отказаться от исполнения настоящего Договора, расторгнуть его во внесудебном порядке и потребовать от Арендатора возмещения причинённых ему убытков (реального ущерба и упущенной выгоды) в случаях:</w:t>
      </w:r>
    </w:p>
    <w:p w14:paraId="38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>Не внесения</w:t>
      </w:r>
      <w:r>
        <w:rPr>
          <w:rFonts w:ascii="Times New Roman" w:hAnsi="Times New Roman"/>
          <w:sz w:val="24"/>
        </w:rPr>
        <w:t xml:space="preserve"> Арендатором в установленный Договором срок обеспечительного платежа или внесения обеспечительного платежа не в полном размере;</w:t>
      </w:r>
    </w:p>
    <w:p w14:paraId="39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</w:t>
      </w:r>
      <w:r>
        <w:rPr>
          <w:rFonts w:ascii="Times New Roman" w:hAnsi="Times New Roman"/>
          <w:sz w:val="24"/>
        </w:rPr>
        <w:t>.2. Не внесения Арендатором в установленный Договором срок постоянной и/или переменной части арендной платы или внесения такой платы не в полном размере;</w:t>
      </w:r>
    </w:p>
    <w:p w14:paraId="3A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</w:t>
      </w:r>
      <w:r>
        <w:rPr>
          <w:rFonts w:ascii="Times New Roman" w:hAnsi="Times New Roman"/>
          <w:sz w:val="24"/>
        </w:rPr>
        <w:t>.3. Умышленного или неосторожного повреждения Нежилого помещения, общего имущества в многоквартирном доме, имущества иных собственников помещений в многоквартирном доме.</w:t>
      </w:r>
    </w:p>
    <w:p w14:paraId="3B000000">
      <w:pPr>
        <w:ind w:firstLine="708" w:left="0"/>
        <w:jc w:val="both"/>
        <w:rPr>
          <w:rFonts w:ascii="Times New Roman" w:hAnsi="Times New Roman"/>
          <w:sz w:val="24"/>
        </w:rPr>
      </w:pPr>
    </w:p>
    <w:p w14:paraId="3C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СТОРОН И ПОРЯДОК РАЗРЕШЕНИЯ СПОРОВ</w:t>
      </w:r>
    </w:p>
    <w:p w14:paraId="3D000000">
      <w:pPr>
        <w:pStyle w:val="Style_1"/>
        <w:ind w:firstLine="0" w:left="1068"/>
        <w:rPr>
          <w:rFonts w:ascii="Times New Roman" w:hAnsi="Times New Roman"/>
          <w:sz w:val="24"/>
        </w:rPr>
      </w:pPr>
    </w:p>
    <w:p w14:paraId="3E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Стороны несут ответственность за неисполнение или ненадлежащее исполнение условий настоящего Договора в соответствии с законодательством Российской Федерации.</w:t>
      </w:r>
    </w:p>
    <w:p w14:paraId="3F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За нарушение сроков в</w:t>
      </w:r>
      <w:r>
        <w:rPr>
          <w:rFonts w:ascii="Times New Roman" w:hAnsi="Times New Roman"/>
          <w:sz w:val="24"/>
        </w:rPr>
        <w:t>несения постоянной или переменной части арендной платы, сроков внесения обеспечительного платежа Арендатор обязан уплатить Арендодателю неустойку в размере 0,1% (ноль целых одна десятая процента) от суммы задолженности за каждый календарный день просрочки.</w:t>
      </w:r>
    </w:p>
    <w:p w14:paraId="40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В случае неисполнения Арендатором обязанности, предусмотренной п. 2.1.1. настоящег</w:t>
      </w:r>
      <w:r>
        <w:rPr>
          <w:rFonts w:ascii="Times New Roman" w:hAnsi="Times New Roman"/>
          <w:sz w:val="24"/>
        </w:rPr>
        <w:t>о Договора, обеспечительный платеж, внесённый Арендатором в соответствии с п. 8.1. Договора не подлежит возврату и переходит в собственность Арендодателя в качестве неустойки, уплачиваемой Арендатором за ненадлежащее исполнение условий настоящего Договора.</w:t>
      </w:r>
    </w:p>
    <w:p w14:paraId="41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Риск случайной гибели или повреждения Нежилого помещения с момента подписания Сторонами Акта </w:t>
      </w:r>
      <w:r>
        <w:rPr>
          <w:rFonts w:ascii="Times New Roman" w:hAnsi="Times New Roman"/>
          <w:sz w:val="24"/>
        </w:rPr>
        <w:t>приём-передачи</w:t>
      </w:r>
      <w:r>
        <w:rPr>
          <w:rFonts w:ascii="Times New Roman" w:hAnsi="Times New Roman"/>
          <w:sz w:val="24"/>
        </w:rPr>
        <w:t xml:space="preserve"> (по форме, согласованной Сторонами в Приложении № 2 к настоящему Договору) и до момента подписания Сторонами Акта приёма-передачи (возврата) (по форме, согласованной Сторонами в Приложении № 3 к настоящему Договору) несет Арендатор.</w:t>
      </w:r>
    </w:p>
    <w:p w14:paraId="42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Претензионный порядок досудебного урегулирования споров, вытекающих из настоящего Договора, является для Сторон обязательным.</w:t>
      </w:r>
    </w:p>
    <w:p w14:paraId="43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Срок рассмотрения претензионных писем составляет 15 (пятнадцать) календарных дней с момента получения Стороной претензионного письма.</w:t>
      </w:r>
    </w:p>
    <w:p w14:paraId="44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Все споры, вытекающие из настоящего Договору, разрешаются в Арбитражном суде города Санкт-Петербурга и Ленинградской области.</w:t>
      </w:r>
    </w:p>
    <w:p w14:paraId="45000000">
      <w:pPr>
        <w:ind w:firstLine="708" w:left="0"/>
        <w:jc w:val="both"/>
        <w:rPr>
          <w:rFonts w:ascii="Times New Roman" w:hAnsi="Times New Roman"/>
          <w:sz w:val="24"/>
        </w:rPr>
      </w:pPr>
    </w:p>
    <w:p w14:paraId="46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ОБСТОЯТЕЛЬСТВА НЕПРЕОДОЛИМОЙ СИЛЫ</w:t>
      </w:r>
    </w:p>
    <w:p w14:paraId="47000000">
      <w:pPr>
        <w:pStyle w:val="Style_1"/>
        <w:ind w:firstLine="0" w:left="1068"/>
        <w:rPr>
          <w:rFonts w:ascii="Times New Roman" w:hAnsi="Times New Roman"/>
          <w:sz w:val="24"/>
        </w:rPr>
      </w:pPr>
    </w:p>
    <w:p w14:paraId="48000000">
      <w:pPr>
        <w:spacing w:after="160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7.1. </w:t>
      </w:r>
      <w:r>
        <w:rPr>
          <w:rFonts w:ascii="Times New Roman" w:hAnsi="Times New Roman"/>
          <w:color w:val="000000"/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перечисленных ниже обстоятельств непреодолимой силы, которые не могли быть известны Сторонам на момен</w:t>
      </w:r>
      <w:r>
        <w:rPr>
          <w:rFonts w:ascii="Times New Roman" w:hAnsi="Times New Roman"/>
          <w:color w:val="000000"/>
          <w:sz w:val="24"/>
        </w:rPr>
        <w:t>т заключения настоящего Договора: война, военные действия (с объявлением войны), вторжение или враждебные действия иностранных государств; природные и техногенные катастрофы, такие как: землетрясения, наводнения, пожары,  ураган, тайфун, эпидемия и прочее.</w:t>
      </w:r>
    </w:p>
    <w:p w14:paraId="49000000">
      <w:pPr>
        <w:spacing w:after="160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 </w:t>
      </w:r>
      <w:r>
        <w:rPr>
          <w:rFonts w:ascii="Times New Roman" w:hAnsi="Times New Roman"/>
          <w:color w:val="000000"/>
          <w:sz w:val="24"/>
        </w:rPr>
        <w:t>Если одна из Сторон не в состоянии выполнить полностью или частично свои обязательства по настоящему Договору вследствие наступления события или обстоятельств непреодолимой силы, то эта Сторона о</w:t>
      </w:r>
      <w:r>
        <w:rPr>
          <w:rFonts w:ascii="Times New Roman" w:hAnsi="Times New Roman"/>
          <w:color w:val="000000"/>
          <w:sz w:val="24"/>
        </w:rPr>
        <w:t>бязана в течение 3 (трех) рабочих дней с момента наступления такого обстоятельства или события уведомить другую сторону о наступлении такого события или обстоятельства с указанием обязательств по настоящему Договору, выполнение которых невозможно или будет</w:t>
      </w:r>
      <w:r>
        <w:rPr>
          <w:rFonts w:ascii="Times New Roman" w:hAnsi="Times New Roman"/>
          <w:color w:val="000000"/>
          <w:sz w:val="24"/>
        </w:rPr>
        <w:t xml:space="preserve"> приостановлено.</w:t>
      </w:r>
    </w:p>
    <w:p w14:paraId="4A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7.3. После направления такого уведомления Сторона освобождается от исполнения перечисленных в уведомлении обязательств на всё время действия обстоятельства непреодолимой силы.</w:t>
      </w:r>
    </w:p>
    <w:p w14:paraId="4B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</w:p>
    <w:p w14:paraId="4C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ОБЕСПЕЧЕНИЕ ИСПОЛНЕНИЯ ОБЯЗАТЕЛЬСТВ</w:t>
      </w:r>
    </w:p>
    <w:p w14:paraId="4D000000">
      <w:pPr>
        <w:pStyle w:val="Style_1"/>
        <w:ind w:firstLine="0" w:left="1068"/>
        <w:rPr>
          <w:rFonts w:ascii="Times New Roman" w:hAnsi="Times New Roman"/>
          <w:color w:val="000000"/>
          <w:sz w:val="24"/>
        </w:rPr>
      </w:pPr>
    </w:p>
    <w:p w14:paraId="4E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8.1. В целях обеспечения исполнения обязательств Арендатора по настоящему Договору, Арендатор, в течение 5 (пяти) календарных дней с момента заключения настоящего Договора перечисляет Арендато</w:t>
      </w:r>
      <w:r>
        <w:rPr>
          <w:rFonts w:ascii="Times New Roman" w:hAnsi="Times New Roman"/>
          <w:color w:val="000000"/>
          <w:sz w:val="24"/>
        </w:rPr>
        <w:t>ру ден</w:t>
      </w:r>
      <w:r>
        <w:rPr>
          <w:rFonts w:ascii="Times New Roman" w:hAnsi="Times New Roman"/>
          <w:color w:val="000000"/>
          <w:sz w:val="24"/>
        </w:rPr>
        <w:t xml:space="preserve">ежные средства в размере 40 000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сорок тысяч) рублей 00 копеек в качестве обеспечительного платежа.</w:t>
      </w:r>
    </w:p>
    <w:p w14:paraId="4F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8.2. Обеспечительный платеж не является авансовый платежом в счет оплаты по Договору.</w:t>
      </w:r>
    </w:p>
    <w:p w14:paraId="50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8.3. Арендодатель вправе в одностороннем порядке зачесть сумму обеспечительного платежа полностью или в части в счет исполнения следующих обязательств Арендатора по настоящему Договору:</w:t>
      </w:r>
    </w:p>
    <w:p w14:paraId="51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8.3.1. По оплате стоимости не произведённого Арендатором текущего ремонта Нежилого помещения, движимого имущества и оборудования, находящего в Нежилом помещении;</w:t>
      </w:r>
    </w:p>
    <w:p w14:paraId="52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8.3.2. По возмещению причинённых действиями или бездействием Арендатора и/или лиц, за де</w:t>
      </w:r>
      <w:r>
        <w:rPr>
          <w:rFonts w:ascii="Times New Roman" w:hAnsi="Times New Roman"/>
          <w:color w:val="000000"/>
          <w:sz w:val="24"/>
        </w:rPr>
        <w:t>йствия которых он отвечает, убытков Арендодателя, убытков, нанесённых общему имуществу многоквартирного дома, а также убытков, причинённых собственникам помещения в многоквартирном доме (если возмещение таких убытков третьим лицам осуществил Арендодатель);</w:t>
      </w:r>
    </w:p>
    <w:p w14:paraId="53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8.3.3. По оплате любых неустоек по настоящему Договору;</w:t>
      </w:r>
    </w:p>
    <w:p w14:paraId="54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8.3.4. По внесению постоянной или переменной части арендной платы.</w:t>
      </w:r>
    </w:p>
    <w:p w14:paraId="55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8.4. Зачёт суммы обеспечительного платежа полностью или в части является правом Арендодателя и может быть осуществлён только при наличии его прямого волеизъявления.</w:t>
      </w:r>
    </w:p>
    <w:p w14:paraId="56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8.5. Зачёт суммы </w:t>
      </w:r>
      <w:r>
        <w:rPr>
          <w:rFonts w:ascii="Times New Roman" w:hAnsi="Times New Roman"/>
          <w:color w:val="000000"/>
          <w:sz w:val="24"/>
        </w:rPr>
        <w:t>суммы</w:t>
      </w:r>
      <w:r>
        <w:rPr>
          <w:rFonts w:ascii="Times New Roman" w:hAnsi="Times New Roman"/>
          <w:color w:val="000000"/>
          <w:sz w:val="24"/>
        </w:rPr>
        <w:t xml:space="preserve"> обеспечительного платежа полностью или в части в счет исполнения обязательств Арендатора по настоящему Договору осуществляется на основании одностороннего уведомления Арендодателя.</w:t>
      </w:r>
    </w:p>
    <w:p w14:paraId="57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8.5. В случае зачёта суммы обеспечительного платежа полностью или в части в счет исполнения обязательств Арендатора по настоящему Договору, Арендатор, в срок,</w:t>
      </w:r>
      <w:r>
        <w:rPr>
          <w:rFonts w:ascii="Times New Roman" w:hAnsi="Times New Roman"/>
          <w:color w:val="000000"/>
          <w:sz w:val="24"/>
        </w:rPr>
        <w:t xml:space="preserve"> не превышающий 5 (пяти) календарных дней с момента получения соответствующего уведомления Арендодателя, обязан восполнить обеспечительный платеж и перечислить Арендатору денежные средства в размере, равном размеру зачтённой части обеспечительного платежа.</w:t>
      </w:r>
    </w:p>
    <w:p w14:paraId="58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8.6. В случае изменения размера постоянной части </w:t>
      </w:r>
      <w:r>
        <w:rPr>
          <w:rFonts w:ascii="Times New Roman" w:hAnsi="Times New Roman"/>
          <w:color w:val="000000"/>
          <w:sz w:val="24"/>
        </w:rPr>
        <w:t>арендной платы на основании п. 4.3. настоящего Договора, Арендатор, в течение 5 (пяти) календарных дней с момента изменения размера постоянной части арендной платы, обязан восполнить обеспечительный платеж до нового размера постоянной части арендной платы.</w:t>
      </w:r>
    </w:p>
    <w:p w14:paraId="59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</w:p>
    <w:p w14:paraId="5A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ЗАКЛЮЧИТЕЛЬНЫЕ ПОЛОЖЕНИЯ</w:t>
      </w:r>
    </w:p>
    <w:p w14:paraId="5B000000">
      <w:pPr>
        <w:pStyle w:val="Style_1"/>
        <w:ind w:firstLine="0" w:left="1068"/>
        <w:rPr>
          <w:rFonts w:ascii="Times New Roman" w:hAnsi="Times New Roman"/>
          <w:color w:val="000000"/>
          <w:sz w:val="24"/>
        </w:rPr>
      </w:pPr>
    </w:p>
    <w:p w14:paraId="5C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9.1. Во всем, что не урегулировано настоящим Договором, стороны руководствуются законодательством Российской Федерации.</w:t>
      </w:r>
    </w:p>
    <w:p w14:paraId="5D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9.2. Все изменения и дополнения к настоящему Договору должны быть оформлены в письменном виде и подписаны Сторонами.</w:t>
      </w:r>
    </w:p>
    <w:p w14:paraId="5E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9.3. </w:t>
      </w:r>
      <w:r>
        <w:rPr>
          <w:rFonts w:ascii="Times New Roman" w:hAnsi="Times New Roman"/>
          <w:color w:val="000000"/>
          <w:sz w:val="24"/>
        </w:rPr>
        <w:t>Стороны признают юридическую силу электронной переписки, а также юридическую силу любых документов, направленны</w:t>
      </w:r>
      <w:r>
        <w:rPr>
          <w:rFonts w:ascii="Times New Roman" w:hAnsi="Times New Roman"/>
          <w:color w:val="000000"/>
          <w:sz w:val="24"/>
        </w:rPr>
        <w:t xml:space="preserve">х с использованием адресов электронных почт, указанных в разделе 10 настоящего Договора. Любые документы, отправленные и полученные сторонами по электронной почте, приравниваются к оригиналам документов, если такие документы, выполнены в виде электронного </w:t>
      </w:r>
      <w:r>
        <w:rPr>
          <w:rFonts w:ascii="Times New Roman" w:hAnsi="Times New Roman"/>
          <w:color w:val="000000"/>
          <w:sz w:val="24"/>
        </w:rPr>
        <w:t>скан-образа</w:t>
      </w:r>
      <w:r>
        <w:rPr>
          <w:rFonts w:ascii="Times New Roman" w:hAnsi="Times New Roman"/>
          <w:color w:val="000000"/>
          <w:sz w:val="24"/>
        </w:rPr>
        <w:t>, содержащего подпись и оттиск печати (в случае наличия) лицо, отправившего такой документ.</w:t>
      </w:r>
    </w:p>
    <w:p w14:paraId="5F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Настоящий Договор составлен в 2 (двух</w:t>
      </w:r>
      <w:r>
        <w:rPr>
          <w:rFonts w:ascii="Times New Roman" w:hAnsi="Times New Roman"/>
          <w:color w:val="000000"/>
          <w:sz w:val="24"/>
        </w:rPr>
        <w:t>) экземплярах, имеющих равную юридическую силу.</w:t>
      </w:r>
    </w:p>
    <w:p w14:paraId="60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9.5</w:t>
      </w:r>
      <w:r>
        <w:rPr>
          <w:rFonts w:ascii="Times New Roman" w:hAnsi="Times New Roman"/>
          <w:color w:val="000000"/>
          <w:sz w:val="24"/>
        </w:rPr>
        <w:t>. Приложения:</w:t>
      </w:r>
    </w:p>
    <w:p w14:paraId="61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9.5</w:t>
      </w:r>
      <w:r>
        <w:rPr>
          <w:rFonts w:ascii="Times New Roman" w:hAnsi="Times New Roman"/>
          <w:color w:val="000000"/>
          <w:sz w:val="24"/>
        </w:rPr>
        <w:t xml:space="preserve">.1. Приложение № 1. План расположения Нежилого помещения, передаваемого в аренду; </w:t>
      </w:r>
    </w:p>
    <w:p w14:paraId="62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9.5</w:t>
      </w:r>
      <w:r>
        <w:rPr>
          <w:rFonts w:ascii="Times New Roman" w:hAnsi="Times New Roman"/>
          <w:color w:val="000000"/>
          <w:sz w:val="24"/>
        </w:rPr>
        <w:t>.2. Приложение № 2. Форма Акта приёма-передачи;</w:t>
      </w:r>
    </w:p>
    <w:p w14:paraId="63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9.5.3</w:t>
      </w:r>
      <w:r>
        <w:rPr>
          <w:rFonts w:ascii="Times New Roman" w:hAnsi="Times New Roman"/>
          <w:color w:val="000000"/>
          <w:sz w:val="24"/>
        </w:rPr>
        <w:t>. Приложение № 3. Форма</w:t>
      </w:r>
      <w:r>
        <w:rPr>
          <w:rFonts w:ascii="Times New Roman" w:hAnsi="Times New Roman"/>
          <w:color w:val="000000"/>
          <w:sz w:val="24"/>
        </w:rPr>
        <w:t xml:space="preserve"> Акт приёма-передачи (возврата)</w:t>
      </w:r>
    </w:p>
    <w:p w14:paraId="64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</w:p>
    <w:p w14:paraId="65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</w:p>
    <w:p w14:paraId="66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АДРЕСА И РЕКВИЗИТЫ СТОРОН</w:t>
      </w:r>
    </w:p>
    <w:p w14:paraId="67000000">
      <w:pPr>
        <w:pStyle w:val="Style_1"/>
        <w:ind w:firstLine="0" w:left="1068"/>
        <w:rPr>
          <w:rFonts w:ascii="Times New Roman" w:hAnsi="Times New Roman"/>
          <w:color w:val="000000"/>
          <w:sz w:val="24"/>
        </w:rPr>
      </w:pPr>
    </w:p>
    <w:p w14:paraId="68000000">
      <w:pPr>
        <w:pageBreakBefore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69000000">
      <w:pPr>
        <w:ind/>
        <w:jc w:val="right"/>
        <w:rPr>
          <w:rFonts w:ascii="Times New Roman" w:hAnsi="Times New Roman"/>
          <w:sz w:val="24"/>
        </w:rPr>
      </w:pPr>
    </w:p>
    <w:p w14:paraId="6A000000">
      <w:pPr>
        <w:ind/>
        <w:jc w:val="right"/>
        <w:rPr>
          <w:rFonts w:ascii="Times New Roman" w:hAnsi="Times New Roman"/>
          <w:sz w:val="24"/>
        </w:rPr>
      </w:pPr>
    </w:p>
    <w:p w14:paraId="6B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6C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 приёма-передачи</w:t>
      </w:r>
    </w:p>
    <w:p w14:paraId="6D000000">
      <w:pPr>
        <w:rPr>
          <w:rFonts w:ascii="Times New Roman" w:hAnsi="Times New Roman"/>
          <w:sz w:val="24"/>
        </w:rPr>
      </w:pPr>
    </w:p>
    <w:p w14:paraId="6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Санкт-Петербург                                                                                            «16» апреля 2023</w:t>
      </w:r>
    </w:p>
    <w:p w14:paraId="6F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В соответствии с п. 1.1. Договора аренды от </w:t>
      </w:r>
      <w:r>
        <w:rPr>
          <w:rFonts w:ascii="Times New Roman" w:hAnsi="Times New Roman"/>
          <w:sz w:val="24"/>
        </w:rPr>
        <w:t xml:space="preserve"> 07.04.2023 № 04-01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Арендодатель передаёт Арендатору, а Арендатор принимает во временное владение и пользовани</w:t>
      </w:r>
      <w:r>
        <w:rPr>
          <w:rFonts w:ascii="Times New Roman" w:hAnsi="Times New Roman"/>
          <w:sz w:val="24"/>
        </w:rPr>
        <w:t>е, нежилое помещение площадью 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кв.м</w:t>
      </w:r>
      <w:r>
        <w:rPr>
          <w:rFonts w:ascii="Times New Roman" w:hAnsi="Times New Roman"/>
          <w:sz w:val="24"/>
        </w:rPr>
        <w:t xml:space="preserve">., (далее - «Нежилое помещение»), являющееся частью нежилого помещения, находящегося по адресу: Санкт-Петербург, </w:t>
      </w:r>
      <w:r>
        <w:rPr>
          <w:rFonts w:ascii="Times New Roman" w:hAnsi="Times New Roman"/>
          <w:sz w:val="24"/>
        </w:rPr>
        <w:t>пр-кт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2. На момент передачи Нежилое помещение находится в технически исправном состоянии, со</w:t>
      </w:r>
      <w:r>
        <w:rPr>
          <w:rFonts w:ascii="Times New Roman" w:hAnsi="Times New Roman"/>
          <w:sz w:val="24"/>
        </w:rPr>
        <w:t>ответствующем требованиям пожарной безопасности, а также санитарно-гигиеническим, экологическим и иным требованиям, отвечает условиям Договора и пригодно для использования в целях, определённых в п. 1.2. Договора. Недостатки Нежилого помещения отсутствуют.</w:t>
      </w:r>
    </w:p>
    <w:p w14:paraId="70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Состав и состояние движимого имущества и оборудования Арендодателя, находящего в Нежилом помещении: ______________________________________________.</w:t>
      </w:r>
    </w:p>
    <w:p w14:paraId="71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Подписанием настоящего Акта Арендатор подтверждает, что претензий, связанных со сроком передачи и состоянием Нежилого помещения не имеет.</w:t>
      </w:r>
    </w:p>
    <w:p w14:paraId="72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Настоящий Акт составлен в 3 (трех) экземплярах.</w:t>
      </w:r>
    </w:p>
    <w:p w14:paraId="73000000">
      <w:pPr>
        <w:ind w:firstLine="708" w:left="0"/>
        <w:jc w:val="both"/>
        <w:rPr>
          <w:rFonts w:ascii="Times New Roman" w:hAnsi="Times New Roman"/>
          <w:sz w:val="24"/>
        </w:rPr>
      </w:pPr>
    </w:p>
    <w:p w14:paraId="74000000">
      <w:pPr>
        <w:ind w:firstLine="708" w:left="0"/>
        <w:jc w:val="both"/>
        <w:rPr>
          <w:rFonts w:ascii="Times New Roman" w:hAnsi="Times New Roman"/>
          <w:sz w:val="24"/>
        </w:rPr>
      </w:pPr>
    </w:p>
    <w:p w14:paraId="75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СОГЛАСОВАНА</w:t>
      </w:r>
    </w:p>
    <w:p w14:paraId="76000000">
      <w:pPr>
        <w:rPr>
          <w:rFonts w:ascii="Times New Roman" w:hAnsi="Times New Roman"/>
          <w:color w:val="000000"/>
          <w:sz w:val="24"/>
        </w:rPr>
      </w:pPr>
    </w:p>
    <w:p w14:paraId="77000000">
      <w:pPr>
        <w:pageBreakBefore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Приложение № 3</w:t>
      </w:r>
    </w:p>
    <w:p w14:paraId="78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Договору аренды от </w:t>
      </w:r>
      <w:r>
        <w:rPr>
          <w:rFonts w:ascii="Times New Roman" w:hAnsi="Times New Roman"/>
          <w:color w:val="000000"/>
          <w:sz w:val="24"/>
        </w:rPr>
        <w:t>07.04.2023 № 04-01</w:t>
      </w:r>
    </w:p>
    <w:p w14:paraId="79000000">
      <w:pPr>
        <w:ind/>
        <w:jc w:val="right"/>
        <w:rPr>
          <w:rFonts w:ascii="Times New Roman" w:hAnsi="Times New Roman"/>
          <w:sz w:val="24"/>
        </w:rPr>
      </w:pPr>
    </w:p>
    <w:p w14:paraId="7A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7B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 приёма-передачи (возврата)</w:t>
      </w:r>
    </w:p>
    <w:p w14:paraId="7C000000">
      <w:pPr>
        <w:rPr>
          <w:rFonts w:ascii="Times New Roman" w:hAnsi="Times New Roman"/>
          <w:sz w:val="24"/>
        </w:rPr>
      </w:pPr>
    </w:p>
    <w:p w14:paraId="7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Санкт-Петербург                                                                                            «__» ___ 2022</w:t>
      </w:r>
    </w:p>
    <w:p w14:paraId="7E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ледующем:</w:t>
      </w:r>
    </w:p>
    <w:p w14:paraId="7F000000">
      <w:pPr>
        <w:rPr>
          <w:rFonts w:ascii="Times New Roman" w:hAnsi="Times New Roman"/>
          <w:color w:val="000000"/>
          <w:sz w:val="24"/>
        </w:rPr>
      </w:pPr>
    </w:p>
    <w:p w14:paraId="80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В соответствии с п. 2.1.8., 2.2.2. Договора аренды от 07.04.2023 № 04-01 </w:t>
      </w:r>
      <w:r>
        <w:rPr>
          <w:rFonts w:ascii="Times New Roman" w:hAnsi="Times New Roman"/>
          <w:sz w:val="24"/>
        </w:rPr>
        <w:t>Арендатор передаёт Арендодателю, а Арендодатель принимает из  временного владения и пользования Арендатора, нежи</w:t>
      </w:r>
      <w:r>
        <w:rPr>
          <w:rFonts w:ascii="Times New Roman" w:hAnsi="Times New Roman"/>
          <w:sz w:val="24"/>
        </w:rPr>
        <w:t>лое помещение площадью 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кв.м</w:t>
      </w:r>
      <w:r>
        <w:rPr>
          <w:rFonts w:ascii="Times New Roman" w:hAnsi="Times New Roman"/>
          <w:sz w:val="24"/>
        </w:rPr>
        <w:t>., (далее - «Нежилое помещение»), являющееся частью нежилого помещения, находящегося по адресу: Санкт-</w:t>
      </w:r>
      <w:r>
        <w:rPr>
          <w:rFonts w:ascii="Times New Roman" w:hAnsi="Times New Roman"/>
          <w:sz w:val="24"/>
        </w:rPr>
        <w:t xml:space="preserve">2. На момент передачи Нежилое помещение находится в технически исправном состоянии, соответствующем требованиям пожарной безопасности, а также санитарно-гигиеническим, экологическим и иным требованиям, </w:t>
      </w:r>
      <w:r>
        <w:rPr>
          <w:rFonts w:ascii="Times New Roman" w:hAnsi="Times New Roman"/>
          <w:sz w:val="24"/>
        </w:rPr>
        <w:t>отвечает условиям Договора Недостатки Нежилого помещения отсутствуют</w:t>
      </w:r>
      <w:r>
        <w:rPr>
          <w:rFonts w:ascii="Times New Roman" w:hAnsi="Times New Roman"/>
          <w:sz w:val="24"/>
        </w:rPr>
        <w:t>.</w:t>
      </w:r>
    </w:p>
    <w:p w14:paraId="81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Состав и состояние движимого имущества и оборудования Арендодателя, находящего в Нежилом помещении: ______________________________________________.</w:t>
      </w:r>
    </w:p>
    <w:p w14:paraId="82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Подписанием настоящего Акта Арендодатель подтверждает, что претензий, связанных со сроком передачи и состоянием Нежилого помещения не имеет.</w:t>
      </w:r>
    </w:p>
    <w:p w14:paraId="83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5. С момента подписания настоящего Акта Договор аренды </w:t>
      </w:r>
      <w:r>
        <w:rPr>
          <w:rFonts w:ascii="Times New Roman" w:hAnsi="Times New Roman"/>
          <w:color w:val="000000"/>
          <w:sz w:val="24"/>
        </w:rPr>
        <w:t>от 07.04.2023 № 04-01 считается расторгнутым.</w:t>
      </w:r>
    </w:p>
    <w:p w14:paraId="84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Настоящий Акт составлен в 3 (трех) экземплярах, имеющих одинаковую юридическую силу.</w:t>
      </w:r>
    </w:p>
    <w:p w14:paraId="85000000">
      <w:pPr>
        <w:ind w:firstLine="708" w:left="0"/>
        <w:jc w:val="both"/>
        <w:rPr>
          <w:rFonts w:ascii="Times New Roman" w:hAnsi="Times New Roman"/>
          <w:sz w:val="24"/>
        </w:rPr>
      </w:pPr>
    </w:p>
    <w:p w14:paraId="86000000">
      <w:pPr>
        <w:ind w:firstLine="708" w:left="0"/>
        <w:jc w:val="both"/>
        <w:rPr>
          <w:rFonts w:ascii="Times New Roman" w:hAnsi="Times New Roman"/>
          <w:sz w:val="24"/>
        </w:rPr>
      </w:pPr>
    </w:p>
    <w:p w14:paraId="87000000">
      <w:pPr>
        <w:rPr>
          <w:rFonts w:ascii="Times New Roman" w:hAnsi="Times New Roman"/>
          <w:color w:val="000000"/>
          <w:sz w:val="24"/>
        </w:rPr>
      </w:pPr>
    </w:p>
    <w:p w14:paraId="88000000">
      <w:pPr>
        <w:rPr>
          <w:rFonts w:ascii="Times New Roman" w:hAnsi="Times New Roman"/>
          <w:color w:val="000000"/>
          <w:sz w:val="24"/>
        </w:rPr>
      </w:pPr>
    </w:p>
    <w:p w14:paraId="89000000"/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endnote reference"/>
    <w:basedOn w:val="Style_4"/>
    <w:link w:val="Style_3_ch"/>
    <w:rPr>
      <w:vertAlign w:val="superscript"/>
    </w:rPr>
  </w:style>
  <w:style w:styleId="Style_3_ch" w:type="character">
    <w:name w:val="endnote reference"/>
    <w:basedOn w:val="Style_4_ch"/>
    <w:link w:val="Style_3"/>
    <w:rPr>
      <w:vertAlign w:val="superscript"/>
    </w:rPr>
  </w:style>
  <w:style w:styleId="Style_5" w:type="paragraph">
    <w:name w:val="toc 2"/>
    <w:basedOn w:val="Style_2"/>
    <w:next w:val="Style_2"/>
    <w:link w:val="Style_5_ch"/>
    <w:uiPriority w:val="39"/>
    <w:pPr>
      <w:spacing w:after="57"/>
      <w:ind w:firstLine="0" w:left="283"/>
    </w:pPr>
  </w:style>
  <w:style w:styleId="Style_5_ch" w:type="character">
    <w:name w:val="toc 2"/>
    <w:basedOn w:val="Style_2_ch"/>
    <w:link w:val="Style_5"/>
  </w:style>
  <w:style w:styleId="Style_6" w:type="paragraph">
    <w:name w:val="toc 4"/>
    <w:basedOn w:val="Style_2"/>
    <w:next w:val="Style_2"/>
    <w:link w:val="Style_6_ch"/>
    <w:uiPriority w:val="39"/>
    <w:pPr>
      <w:spacing w:after="57"/>
      <w:ind w:firstLine="0" w:left="850"/>
    </w:pPr>
  </w:style>
  <w:style w:styleId="Style_6_ch" w:type="character">
    <w:name w:val="toc 4"/>
    <w:basedOn w:val="Style_2_ch"/>
    <w:link w:val="Style_6"/>
  </w:style>
  <w:style w:styleId="Style_7" w:type="paragraph">
    <w:name w:val="heading 7"/>
    <w:basedOn w:val="Style_2"/>
    <w:next w:val="Style_2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7_ch" w:type="character">
    <w:name w:val="heading 7"/>
    <w:basedOn w:val="Style_2_ch"/>
    <w:link w:val="Style_7"/>
    <w:rPr>
      <w:rFonts w:ascii="Arial" w:hAnsi="Arial"/>
      <w:b w:val="1"/>
      <w:i w:val="1"/>
    </w:rPr>
  </w:style>
  <w:style w:styleId="Style_8" w:type="paragraph">
    <w:name w:val="toc 6"/>
    <w:basedOn w:val="Style_2"/>
    <w:next w:val="Style_2"/>
    <w:link w:val="Style_8_ch"/>
    <w:uiPriority w:val="39"/>
    <w:pPr>
      <w:spacing w:after="57"/>
      <w:ind w:firstLine="0" w:left="1417"/>
    </w:pPr>
  </w:style>
  <w:style w:styleId="Style_8_ch" w:type="character">
    <w:name w:val="toc 6"/>
    <w:basedOn w:val="Style_2_ch"/>
    <w:link w:val="Style_8"/>
  </w:style>
  <w:style w:styleId="Style_9" w:type="paragraph">
    <w:name w:val="toc 7"/>
    <w:basedOn w:val="Style_2"/>
    <w:next w:val="Style_2"/>
    <w:link w:val="Style_9_ch"/>
    <w:uiPriority w:val="39"/>
    <w:pPr>
      <w:spacing w:after="57"/>
      <w:ind w:firstLine="0" w:left="1701"/>
    </w:pPr>
  </w:style>
  <w:style w:styleId="Style_9_ch" w:type="character">
    <w:name w:val="toc 7"/>
    <w:basedOn w:val="Style_2_ch"/>
    <w:link w:val="Style_9"/>
  </w:style>
  <w:style w:styleId="Style_10" w:type="paragraph">
    <w:name w:val="Footnote"/>
    <w:basedOn w:val="Style_2"/>
    <w:link w:val="Style_10_ch"/>
    <w:pPr>
      <w:spacing w:after="40"/>
      <w:ind/>
    </w:pPr>
    <w:rPr>
      <w:sz w:val="18"/>
    </w:rPr>
  </w:style>
  <w:style w:styleId="Style_10_ch" w:type="character">
    <w:name w:val="Footnote"/>
    <w:basedOn w:val="Style_2_ch"/>
    <w:link w:val="Style_10"/>
    <w:rPr>
      <w:sz w:val="1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2_ch"/>
    <w:link w:val="Style_11"/>
    <w:rPr>
      <w:rFonts w:ascii="Arial" w:hAnsi="Arial"/>
      <w:sz w:val="30"/>
    </w:rPr>
  </w:style>
  <w:style w:styleId="Style_12" w:type="paragraph">
    <w:name w:val="Quote"/>
    <w:basedOn w:val="Style_2"/>
    <w:next w:val="Style_2"/>
    <w:link w:val="Style_12_ch"/>
    <w:pPr>
      <w:ind w:firstLine="0" w:left="720" w:right="720"/>
    </w:pPr>
    <w:rPr>
      <w:i w:val="1"/>
    </w:rPr>
  </w:style>
  <w:style w:styleId="Style_12_ch" w:type="character">
    <w:name w:val="Quote"/>
    <w:basedOn w:val="Style_2_ch"/>
    <w:link w:val="Style_12"/>
    <w:rPr>
      <w:i w:val="1"/>
    </w:rPr>
  </w:style>
  <w:style w:styleId="Style_13" w:type="paragraph">
    <w:name w:val="heading 9"/>
    <w:basedOn w:val="Style_2"/>
    <w:next w:val="Style_2"/>
    <w:link w:val="Style_1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2_ch"/>
    <w:link w:val="Style_13"/>
    <w:rPr>
      <w:rFonts w:ascii="Arial" w:hAnsi="Arial"/>
      <w:i w:val="1"/>
      <w:sz w:val="21"/>
    </w:rPr>
  </w:style>
  <w:style w:styleId="Style_14" w:type="paragraph">
    <w:name w:val="Intense Quote"/>
    <w:basedOn w:val="Style_2"/>
    <w:next w:val="Style_2"/>
    <w:link w:val="Style_14_ch"/>
    <w:pPr>
      <w:ind w:firstLine="0" w:left="720" w:right="720"/>
    </w:pPr>
    <w:rPr>
      <w:i w:val="1"/>
    </w:rPr>
  </w:style>
  <w:style w:styleId="Style_14_ch" w:type="character">
    <w:name w:val="Intense Quote"/>
    <w:basedOn w:val="Style_2_ch"/>
    <w:link w:val="Style_14"/>
    <w:rPr>
      <w:i w:val="1"/>
    </w:rPr>
  </w:style>
  <w:style w:styleId="Style_15" w:type="paragraph">
    <w:name w:val="endnote text"/>
    <w:basedOn w:val="Style_2"/>
    <w:link w:val="Style_15_ch"/>
    <w:rPr>
      <w:sz w:val="20"/>
    </w:rPr>
  </w:style>
  <w:style w:styleId="Style_15_ch" w:type="character">
    <w:name w:val="endnote text"/>
    <w:basedOn w:val="Style_2_ch"/>
    <w:link w:val="Style_15"/>
    <w:rPr>
      <w:sz w:val="20"/>
    </w:rPr>
  </w:style>
  <w:style w:styleId="Style_16" w:type="paragraph">
    <w:name w:val="Header"/>
    <w:basedOn w:val="Style_2"/>
    <w:link w:val="Style_16_ch"/>
    <w:pPr>
      <w:tabs>
        <w:tab w:leader="none" w:pos="7143" w:val="center"/>
        <w:tab w:leader="none" w:pos="14287" w:val="right"/>
      </w:tabs>
      <w:ind/>
    </w:pPr>
  </w:style>
  <w:style w:styleId="Style_16_ch" w:type="character">
    <w:name w:val="Header"/>
    <w:basedOn w:val="Style_2_ch"/>
    <w:link w:val="Style_16"/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8" w:type="paragraph">
    <w:name w:val="toc 3"/>
    <w:basedOn w:val="Style_2"/>
    <w:next w:val="Style_2"/>
    <w:link w:val="Style_18_ch"/>
    <w:uiPriority w:val="39"/>
    <w:pPr>
      <w:spacing w:after="57"/>
      <w:ind w:firstLine="0" w:left="567"/>
    </w:pPr>
  </w:style>
  <w:style w:styleId="Style_18_ch" w:type="character">
    <w:name w:val="toc 3"/>
    <w:basedOn w:val="Style_2_ch"/>
    <w:link w:val="Style_18"/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heading 5"/>
    <w:basedOn w:val="Style_2"/>
    <w:next w:val="Style_2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2_ch"/>
    <w:link w:val="Style_20"/>
    <w:rPr>
      <w:rFonts w:ascii="Arial" w:hAnsi="Arial"/>
      <w:b w:val="1"/>
      <w:sz w:val="24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2_ch"/>
    <w:link w:val="Style_21"/>
    <w:rPr>
      <w:rFonts w:ascii="Arial" w:hAnsi="Arial"/>
      <w:sz w:val="40"/>
    </w:rPr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2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2_ch"/>
    <w:link w:val="Style_23"/>
    <w:rPr>
      <w:sz w:val="18"/>
    </w:rPr>
  </w:style>
  <w:style w:styleId="Style_24" w:type="paragraph">
    <w:name w:val="heading 8"/>
    <w:basedOn w:val="Style_2"/>
    <w:next w:val="Style_2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4_ch" w:type="character">
    <w:name w:val="heading 8"/>
    <w:basedOn w:val="Style_2_ch"/>
    <w:link w:val="Style_24"/>
    <w:rPr>
      <w:rFonts w:ascii="Arial" w:hAnsi="Arial"/>
      <w:i w:val="1"/>
    </w:rPr>
  </w:style>
  <w:style w:styleId="Style_25" w:type="paragraph">
    <w:name w:val="toc 1"/>
    <w:basedOn w:val="Style_2"/>
    <w:next w:val="Style_2"/>
    <w:link w:val="Style_25_ch"/>
    <w:uiPriority w:val="39"/>
    <w:pPr>
      <w:spacing w:after="57"/>
      <w:ind/>
    </w:pPr>
  </w:style>
  <w:style w:styleId="Style_25_ch" w:type="character">
    <w:name w:val="toc 1"/>
    <w:basedOn w:val="Style_2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Footer"/>
    <w:basedOn w:val="Style_2"/>
    <w:link w:val="Style_27_ch"/>
    <w:pPr>
      <w:tabs>
        <w:tab w:leader="none" w:pos="7143" w:val="center"/>
        <w:tab w:leader="none" w:pos="14287" w:val="right"/>
      </w:tabs>
      <w:ind/>
    </w:pPr>
  </w:style>
  <w:style w:styleId="Style_27_ch" w:type="character">
    <w:name w:val="Footer"/>
    <w:basedOn w:val="Style_2_ch"/>
    <w:link w:val="Style_27"/>
  </w:style>
  <w:style w:styleId="Style_28" w:type="paragraph">
    <w:name w:val="toc 9"/>
    <w:basedOn w:val="Style_2"/>
    <w:next w:val="Style_2"/>
    <w:link w:val="Style_28_ch"/>
    <w:uiPriority w:val="39"/>
    <w:pPr>
      <w:spacing w:after="57"/>
      <w:ind w:firstLine="0" w:left="2268"/>
    </w:pPr>
  </w:style>
  <w:style w:styleId="Style_28_ch" w:type="character">
    <w:name w:val="toc 9"/>
    <w:basedOn w:val="Style_2_ch"/>
    <w:link w:val="Style_28"/>
  </w:style>
  <w:style w:styleId="Style_29" w:type="paragraph">
    <w:name w:val="Caption"/>
    <w:basedOn w:val="Style_2"/>
    <w:next w:val="Style_2"/>
    <w:link w:val="Style_29_ch"/>
    <w:pPr>
      <w:spacing w:line="276" w:lineRule="auto"/>
      <w:ind/>
    </w:pPr>
    <w:rPr>
      <w:b w:val="1"/>
      <w:color w:themeColor="accent1" w:val="4472C4"/>
      <w:sz w:val="18"/>
    </w:rPr>
  </w:style>
  <w:style w:styleId="Style_29_ch" w:type="character">
    <w:name w:val="Caption"/>
    <w:basedOn w:val="Style_2_ch"/>
    <w:link w:val="Style_29"/>
    <w:rPr>
      <w:b w:val="1"/>
      <w:color w:themeColor="accent1" w:val="4472C4"/>
      <w:sz w:val="18"/>
    </w:rPr>
  </w:style>
  <w:style w:styleId="Style_30" w:type="paragraph">
    <w:name w:val="Footer Char"/>
    <w:basedOn w:val="Style_4"/>
    <w:link w:val="Style_30_ch"/>
  </w:style>
  <w:style w:styleId="Style_30_ch" w:type="character">
    <w:name w:val="Footer Char"/>
    <w:basedOn w:val="Style_4_ch"/>
    <w:link w:val="Style_30"/>
  </w:style>
  <w:style w:styleId="Style_31" w:type="paragraph">
    <w:name w:val="toc 8"/>
    <w:basedOn w:val="Style_2"/>
    <w:next w:val="Style_2"/>
    <w:link w:val="Style_31_ch"/>
    <w:uiPriority w:val="39"/>
    <w:pPr>
      <w:spacing w:after="57"/>
      <w:ind w:firstLine="0" w:left="1984"/>
    </w:pPr>
  </w:style>
  <w:style w:styleId="Style_31_ch" w:type="character">
    <w:name w:val="toc 8"/>
    <w:basedOn w:val="Style_2_ch"/>
    <w:link w:val="Style_31"/>
  </w:style>
  <w:style w:styleId="Style_32" w:type="paragraph">
    <w:name w:val="No Spacing"/>
    <w:link w:val="Style_32_ch"/>
  </w:style>
  <w:style w:styleId="Style_32_ch" w:type="character">
    <w:name w:val="No Spacing"/>
    <w:link w:val="Style_32"/>
  </w:style>
  <w:style w:styleId="Style_33" w:type="paragraph">
    <w:name w:val="toc 5"/>
    <w:basedOn w:val="Style_2"/>
    <w:next w:val="Style_2"/>
    <w:link w:val="Style_33_ch"/>
    <w:uiPriority w:val="39"/>
    <w:pPr>
      <w:spacing w:after="57"/>
      <w:ind w:firstLine="0" w:left="1134"/>
    </w:pPr>
  </w:style>
  <w:style w:styleId="Style_33_ch" w:type="character">
    <w:name w:val="toc 5"/>
    <w:basedOn w:val="Style_2_ch"/>
    <w:link w:val="Style_33"/>
  </w:style>
  <w:style w:styleId="Style_34" w:type="paragraph">
    <w:name w:val="footnote reference"/>
    <w:basedOn w:val="Style_4"/>
    <w:link w:val="Style_34_ch"/>
    <w:rPr>
      <w:vertAlign w:val="superscript"/>
    </w:rPr>
  </w:style>
  <w:style w:styleId="Style_34_ch" w:type="character">
    <w:name w:val="footnote reference"/>
    <w:basedOn w:val="Style_4_ch"/>
    <w:link w:val="Style_34"/>
    <w:rPr>
      <w:vertAlign w:val="superscript"/>
    </w:rPr>
  </w:style>
  <w:style w:styleId="Style_35" w:type="paragraph">
    <w:name w:val="Subtitle"/>
    <w:basedOn w:val="Style_2"/>
    <w:next w:val="Style_2"/>
    <w:link w:val="Style_35_ch"/>
    <w:uiPriority w:val="11"/>
    <w:qFormat/>
    <w:pPr>
      <w:spacing w:after="200" w:before="200"/>
      <w:ind/>
    </w:pPr>
    <w:rPr>
      <w:sz w:val="24"/>
    </w:rPr>
  </w:style>
  <w:style w:styleId="Style_35_ch" w:type="character">
    <w:name w:val="Subtitle"/>
    <w:basedOn w:val="Style_2_ch"/>
    <w:link w:val="Style_35"/>
    <w:rPr>
      <w:sz w:val="24"/>
    </w:rPr>
  </w:style>
  <w:style w:styleId="Style_36" w:type="paragraph">
    <w:name w:val="table of figures"/>
    <w:basedOn w:val="Style_2"/>
    <w:next w:val="Style_2"/>
    <w:link w:val="Style_36_ch"/>
  </w:style>
  <w:style w:styleId="Style_36_ch" w:type="character">
    <w:name w:val="table of figures"/>
    <w:basedOn w:val="Style_2_ch"/>
    <w:link w:val="Style_36"/>
  </w:style>
  <w:style w:styleId="Style_37" w:type="paragraph">
    <w:name w:val="Title"/>
    <w:basedOn w:val="Style_2"/>
    <w:next w:val="Style_2"/>
    <w:link w:val="Style_37_ch"/>
    <w:uiPriority w:val="10"/>
    <w:qFormat/>
    <w:pPr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2_ch"/>
    <w:link w:val="Style_37"/>
    <w:rPr>
      <w:sz w:val="48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2_ch"/>
    <w:link w:val="Style_38"/>
    <w:rPr>
      <w:rFonts w:ascii="Arial" w:hAnsi="Arial"/>
      <w:b w:val="1"/>
      <w:sz w:val="26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39" w:type="paragraph">
    <w:name w:val="heading 2"/>
    <w:basedOn w:val="Style_2"/>
    <w:next w:val="Style_2"/>
    <w:link w:val="Style_3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2_ch"/>
    <w:link w:val="Style_39"/>
    <w:rPr>
      <w:rFonts w:ascii="Arial" w:hAnsi="Arial"/>
      <w:sz w:val="34"/>
    </w:rPr>
  </w:style>
  <w:style w:styleId="Style_40" w:type="paragraph">
    <w:name w:val="heading 6"/>
    <w:basedOn w:val="Style_2"/>
    <w:next w:val="Style_2"/>
    <w:link w:val="Style_4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0_ch" w:type="character">
    <w:name w:val="heading 6"/>
    <w:basedOn w:val="Style_2_ch"/>
    <w:link w:val="Style_40"/>
    <w:rPr>
      <w:rFonts w:ascii="Arial" w:hAnsi="Arial"/>
      <w:b w:val="1"/>
    </w:rPr>
  </w:style>
  <w:style w:styleId="Style_41" w:type="table">
    <w:name w:val="Grid Table 7 Colorful - Accent 4"/>
    <w:basedOn w:val="Style_42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Bordered - Accent 6"/>
    <w:basedOn w:val="Style_4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Lined - Accent 6"/>
    <w:basedOn w:val="Style_4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Grid Table 7 Colorful - Accent 5"/>
    <w:basedOn w:val="Style_42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List Table 2 - Accent 6"/>
    <w:basedOn w:val="Style_42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List Table 6 Colorful"/>
    <w:basedOn w:val="Style_42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Grid Table 2 - Accent 6"/>
    <w:basedOn w:val="Style_4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List Table 5 Dark - Accent 1"/>
    <w:basedOn w:val="Style_42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List Table 5 Dark"/>
    <w:basedOn w:val="Style_42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Grid Table 4 - Accent 1"/>
    <w:basedOn w:val="Style_4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List Table 1 Light - Accent 6"/>
    <w:basedOn w:val="Style_4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List Table 2 - Accent 3"/>
    <w:basedOn w:val="Style_42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List Table 3 - Accent 2"/>
    <w:basedOn w:val="Style_4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Grid Table 3 - Accent 4"/>
    <w:basedOn w:val="Style_4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4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List Table 4 - Accent 4"/>
    <w:basedOn w:val="Style_4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Bordered &amp; Lined - Accent 6"/>
    <w:basedOn w:val="Style_42"/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5 Dark - Accent 2"/>
    <w:basedOn w:val="Style_4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ned - Accent"/>
    <w:basedOn w:val="Style_4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Grid Table 4"/>
    <w:basedOn w:val="Style_42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2 - Accent 4"/>
    <w:basedOn w:val="Style_4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Bordered - Accent 1"/>
    <w:basedOn w:val="Style_4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3 - Accent 4"/>
    <w:basedOn w:val="Style_4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Grid Table 4 - Accent 3"/>
    <w:basedOn w:val="Style_4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1 Light - Accent 4"/>
    <w:basedOn w:val="Style_4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4 - Accent 2"/>
    <w:basedOn w:val="Style_4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6 Colorful - Accent 2"/>
    <w:basedOn w:val="Style_4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Table Grid Light"/>
    <w:basedOn w:val="Style_4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5 Dark - Accent 3"/>
    <w:basedOn w:val="Style_42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5 Dark - Accent 4"/>
    <w:basedOn w:val="Style_42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5 Dark- Accent 4"/>
    <w:basedOn w:val="Style_4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Grid Table 3"/>
    <w:basedOn w:val="Style_4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3 - Accent 2"/>
    <w:basedOn w:val="Style_4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1 Light - Accent 2"/>
    <w:basedOn w:val="Style_4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6 Colorful - Accent 2"/>
    <w:basedOn w:val="Style_4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3 - Accent 5"/>
    <w:basedOn w:val="Style_4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5 Dark - Accent 5"/>
    <w:basedOn w:val="Style_42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4 - Accent 2"/>
    <w:basedOn w:val="Style_4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5 Dark - Accent 5"/>
    <w:basedOn w:val="Style_4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Bordered &amp; Lined - Accent 4"/>
    <w:basedOn w:val="Style_42"/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4 - Accent 4"/>
    <w:basedOn w:val="Style_4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4"/>
    <w:basedOn w:val="Style_4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6 Colorful - Accent 6"/>
    <w:basedOn w:val="Style_42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2 - Accent 2"/>
    <w:basedOn w:val="Style_4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2 - Accent 3"/>
    <w:basedOn w:val="Style_4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Bordered &amp; Lined - Accent 3"/>
    <w:basedOn w:val="Style_42"/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2 - Accent 1"/>
    <w:basedOn w:val="Style_42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7 Colorful"/>
    <w:basedOn w:val="Style_42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7 Colorful - Accent 6"/>
    <w:basedOn w:val="Style_42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6 Colorful - Accent 1"/>
    <w:basedOn w:val="Style_42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5 Dark- Accent 1"/>
    <w:basedOn w:val="Style_4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7 Colorful - Accent 1"/>
    <w:basedOn w:val="Style_42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7 Colorful - Accent 3"/>
    <w:basedOn w:val="Style_42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7 Colorful - Accent 3"/>
    <w:basedOn w:val="Style_42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3 - Accent 6"/>
    <w:basedOn w:val="Style_42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3 - Accent 3"/>
    <w:basedOn w:val="Style_4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Bordered &amp; Lined - Accent 2"/>
    <w:basedOn w:val="Style_42"/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ned - Accent 4"/>
    <w:basedOn w:val="Style_4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Bordered - Accent 3"/>
    <w:basedOn w:val="Style_4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3 - Accent 1"/>
    <w:basedOn w:val="Style_42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1 Light - Accent 1"/>
    <w:basedOn w:val="Style_4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5 Dark - Accent 6"/>
    <w:basedOn w:val="Style_42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2 - Accent 2"/>
    <w:basedOn w:val="Style_4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ned - Accent 5"/>
    <w:basedOn w:val="Style_4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1 Light - Accent 6"/>
    <w:basedOn w:val="Style_4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1 Light - Accent 3"/>
    <w:basedOn w:val="Style_4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7 Colorful - Accent 2"/>
    <w:basedOn w:val="Style_42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Plain Table 3"/>
    <w:basedOn w:val="Style_4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ned - Accent 3"/>
    <w:basedOn w:val="Style_4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Plain Table 1"/>
    <w:basedOn w:val="Style_4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3 - Accent 1"/>
    <w:basedOn w:val="Style_4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6 Colorful"/>
    <w:basedOn w:val="Style_42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Bordered - Accent 4"/>
    <w:basedOn w:val="Style_4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7 Colorful - Accent 6"/>
    <w:basedOn w:val="Style_42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5 Dark"/>
    <w:basedOn w:val="Style_4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Plain Table 2"/>
    <w:basedOn w:val="Style_42"/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6 Colorful - Accent 3"/>
    <w:basedOn w:val="Style_42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2 - Accent 4"/>
    <w:basedOn w:val="Style_42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7 Colorful - Accent 2"/>
    <w:basedOn w:val="Style_4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2 - Accent 5"/>
    <w:basedOn w:val="Style_4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4 - Accent 3"/>
    <w:basedOn w:val="Style_4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Bordered - Accent 2"/>
    <w:basedOn w:val="Style_4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4 - Accent 5"/>
    <w:basedOn w:val="Style_4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6 Colorful - Accent 5"/>
    <w:basedOn w:val="Style_42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2"/>
    <w:basedOn w:val="Style_4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1 Light - Accent 5"/>
    <w:basedOn w:val="Style_4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&amp; Lined - Accent 5"/>
    <w:basedOn w:val="Style_42"/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2 - Accent 1"/>
    <w:basedOn w:val="Style_4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6 Colorful - Accent 5"/>
    <w:basedOn w:val="Style_42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6 Colorful - Accent 6"/>
    <w:basedOn w:val="Style_42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4 - Accent 6"/>
    <w:basedOn w:val="Style_4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6 Colorful - Accent 1"/>
    <w:basedOn w:val="Style_42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Plain Table 4"/>
    <w:basedOn w:val="Style_4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7 Colorful"/>
    <w:basedOn w:val="Style_42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ned - Accent 1"/>
    <w:basedOn w:val="Style_4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2 - Accent 5"/>
    <w:basedOn w:val="Style_42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3 - Accent 5"/>
    <w:basedOn w:val="Style_42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3 - Accent 3"/>
    <w:basedOn w:val="Style_42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7 Colorful - Accent 1"/>
    <w:basedOn w:val="Style_42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5 Dark - Accent 6"/>
    <w:basedOn w:val="Style_4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Bordered"/>
    <w:basedOn w:val="Style_42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1 Light - Accent 3"/>
    <w:basedOn w:val="Style_4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7 Colorful - Accent 4"/>
    <w:basedOn w:val="Style_42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Bordered &amp; Lined - Accent"/>
    <w:basedOn w:val="Style_42"/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6 Colorful - Accent 4"/>
    <w:basedOn w:val="Style_42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1 Light - Accent 1"/>
    <w:basedOn w:val="Style_4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7 Colorful - Accent 5"/>
    <w:basedOn w:val="Style_42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1 Light"/>
    <w:basedOn w:val="Style_4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5 Dark - Accent 2"/>
    <w:basedOn w:val="Style_4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5 Dark - Accent 3"/>
    <w:basedOn w:val="Style_4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Bordered &amp; Lined - Accent 1"/>
    <w:basedOn w:val="Style_42"/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Plain Table 5"/>
    <w:basedOn w:val="Style_4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4 - Accent 5"/>
    <w:basedOn w:val="Style_4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Bordered - Accent 5"/>
    <w:basedOn w:val="Style_4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1 Light"/>
    <w:basedOn w:val="Style_42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3 - Accent 6"/>
    <w:basedOn w:val="Style_4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1 Light - Accent 5"/>
    <w:basedOn w:val="Style_4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1 Light - Accent 4"/>
    <w:basedOn w:val="Style_4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ned - Accent 2"/>
    <w:basedOn w:val="Style_42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1 Light - Accent 2"/>
    <w:basedOn w:val="Style_4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4 - Accent 1"/>
    <w:basedOn w:val="Style_4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6 Colorful - Accent 4"/>
    <w:basedOn w:val="Style_4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3"/>
    <w:basedOn w:val="Style_4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4 - Accent 6"/>
    <w:basedOn w:val="Style_4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6 Colorful - Accent 3"/>
    <w:basedOn w:val="Style_42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2"/>
    <w:basedOn w:val="Style_4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2023-06-13T14:12:18Z</dcterms:modified>
</cp:coreProperties>
</file>