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Fwd: Консультация по обращению</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Отправлено из мобильной Яндекс Почты</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Пересылаемое сообщение --------</w:t>
      </w:r>
    </w:p>
    <w:p w:rsidR="00000000" w:rsidDel="00000000" w:rsidP="00000000" w:rsidRDefault="00000000" w:rsidRPr="00000000" w14:paraId="00000008">
      <w:pPr>
        <w:rPr/>
      </w:pPr>
      <w:r w:rsidDel="00000000" w:rsidR="00000000" w:rsidRPr="00000000">
        <w:rPr>
          <w:rtl w:val="0"/>
        </w:rPr>
        <w:t xml:space="preserve">16.04.2023, 12:41, "infovcto@kadastr.ru" &lt;infovcto@kadastr.ru&gt;:</w:t>
      </w:r>
    </w:p>
    <w:p w:rsidR="00000000" w:rsidDel="00000000" w:rsidP="00000000" w:rsidRDefault="00000000" w:rsidRPr="00000000" w14:paraId="00000009">
      <w:pPr>
        <w:rPr/>
      </w:pPr>
      <w:r w:rsidDel="00000000" w:rsidR="00000000" w:rsidRPr="00000000">
        <w:rPr>
          <w:rtl w:val="0"/>
        </w:rPr>
        <w:t xml:space="preserve">О возможности отчуждения единственным собственником доли от целого объекта недвижимости.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Изменение единственным собственником объекта недвижимого имущества правового режима владения, пользования, распоряжения такой недвижимостью на общую долевую собственность, выдел из неё доли в целях дальнейшего распоряжения, в том числе отчуждения, действующим законодательством не предусмотрено. При этом отчуждение доли от целого объекта недвижимости, приобретенного с использованием средств (части средств) материнского (семейного) капитала возможно, так как в данном случае обязательство о выделении долей установлено федеральным законом.</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силу статьи 209 Гражданского кодекса Российской Федерации (далее –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Согласно статье 8.1 ГК РФ:</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 (статья 128 ГК РФ).</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В соответствии со статьей 130 ГК РФ к недвижимым вещам относятся:</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Доля в праве собственности – это имущественное право, она определяется в праве общей собственности, но не в самой недвижимой вещи. Имущественные права являются самостоятельным (отличным от недвижимого имущества) видом объектов гражданских прав.</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Согласно статье 244 ГК РФ:</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имущество, находящееся в собственности двух или нескольких лиц, принадлежит им на праве общей собственности;</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 (статья 133 ГК РФ). Выдел доли в натуре невозможен, если он не допускается законом или влечет несоразмерный ущерб имуществу (статья 252 ГК РФ).</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В этой связи в случае передачи собственником объекта недвижимости на основании сделки одновременно нескольким лицам у таких приобретателей возникнет право общей долевой собственности, если закон не предусматривает возможность образования общей совместной собственности, на данный объект недвижимости.</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Единоличный собственник неделимой вещи распоряжается самой вещью. При этом создание общей долевой собственности единоличным собственником объекта недвижимости путем «формирования» и отчуждения доли в праве на него действующим законодательством не предусмотрено (не согласуется с положениями статьи 244 ГК РФ).</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Статья 246 ГК РФ указывает на право участника общей долевой собственности распоряжаться принадлежащей ему долей в праве путем ее продажи, дарения, залога, завещания, распоряжения иным образом.</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Исходя из положений ГК РФ, в установленных законом случаях право индивидуальной собственности (право, принадлежащее одному лицу), принадлежащая участнику долевой собственности доля в праве также могут быть «разделены» с сохранением за собственником доли в праве собственности. Например, в силу прямого указания в главе 55 ГК РФ при заключении собственником договора простого товарищества его вклад поступает в общую долевую собственность товарищей (каковым также является и названный собственник).</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Учитывая вышеизложенное, исходя из невозможности быть участником общей долевой собственности на объект недвижимости, являясь единоличным собственником такой вещи, отчуждение единоличным собственником целого (неделимого) объекта недвижимости определенной доли не основано на действующем законодательстве.</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